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5EA7807C" w:rsidR="0098577C" w:rsidRPr="00706E34" w:rsidRDefault="0098577C" w:rsidP="004B3BC0">
      <w:pPr>
        <w:rPr>
          <w:rFonts w:ascii="Arial" w:eastAsia="바탕" w:hAnsi="Arial" w:cs="Arial"/>
          <w:b/>
          <w:lang w:val="en-GB"/>
        </w:rPr>
      </w:pPr>
      <w:bookmarkStart w:id="0" w:name="OLE_LINK1"/>
      <w:bookmarkStart w:id="1" w:name="OLE_LINK2"/>
      <w:r w:rsidRPr="00706E34">
        <w:rPr>
          <w:rFonts w:ascii="Arial" w:eastAsia="바탕" w:hAnsi="Arial" w:cs="Arial"/>
          <w:b/>
          <w:lang w:val="en-GB"/>
        </w:rPr>
        <w:t>Source:</w:t>
      </w:r>
      <w:r w:rsidRPr="00706E34">
        <w:rPr>
          <w:rFonts w:ascii="Arial" w:eastAsia="바탕" w:hAnsi="Arial" w:cs="Arial"/>
          <w:b/>
          <w:lang w:val="en-GB"/>
        </w:rPr>
        <w:tab/>
      </w:r>
      <w:r w:rsidR="00AC6806" w:rsidRPr="00706E34">
        <w:rPr>
          <w:rFonts w:ascii="Arial" w:eastAsia="바탕" w:hAnsi="Arial" w:cs="Arial"/>
          <w:b/>
          <w:lang w:val="en-GB"/>
        </w:rPr>
        <w:tab/>
      </w:r>
      <w:r w:rsidR="009254FD" w:rsidRPr="00706E34">
        <w:rPr>
          <w:rFonts w:ascii="Arial" w:eastAsia="맑은 고딕" w:hAnsi="Arial" w:cs="Arial"/>
          <w:b/>
          <w:lang w:val="en-GB"/>
        </w:rPr>
        <w:t>Samsung Electronics</w:t>
      </w:r>
      <w:r w:rsidR="002D11E2">
        <w:rPr>
          <w:rFonts w:ascii="Arial" w:eastAsia="맑은 고딕" w:hAnsi="Arial" w:cs="Arial"/>
          <w:b/>
          <w:lang w:val="en-GB"/>
        </w:rPr>
        <w:t>, NTT</w:t>
      </w:r>
      <w:bookmarkStart w:id="2" w:name="_GoBack"/>
      <w:bookmarkEnd w:id="2"/>
    </w:p>
    <w:p w14:paraId="6F7E13B0" w14:textId="58B77896" w:rsidR="0098577C" w:rsidRPr="00706E34" w:rsidRDefault="0098577C" w:rsidP="004B3BC0">
      <w:pPr>
        <w:rPr>
          <w:rFonts w:ascii="Arial" w:eastAsia="바탕" w:hAnsi="Arial" w:cs="Arial"/>
          <w:b/>
          <w:bCs/>
          <w:lang w:val="en-GB"/>
        </w:rPr>
      </w:pPr>
      <w:r w:rsidRPr="00706E34">
        <w:rPr>
          <w:rFonts w:ascii="Arial" w:eastAsia="바탕" w:hAnsi="Arial" w:cs="Arial"/>
          <w:b/>
          <w:bCs/>
          <w:lang w:val="en-GB"/>
        </w:rPr>
        <w:t>Title:</w:t>
      </w:r>
      <w:r w:rsidR="00AC6806" w:rsidRPr="00706E34">
        <w:rPr>
          <w:rFonts w:ascii="Arial" w:eastAsia="바탕" w:hAnsi="Arial" w:cs="Arial"/>
          <w:b/>
          <w:bCs/>
          <w:lang w:val="en-GB"/>
        </w:rPr>
        <w:tab/>
      </w:r>
      <w:r w:rsidR="00AC6806" w:rsidRPr="00706E34">
        <w:rPr>
          <w:rFonts w:ascii="Arial" w:eastAsia="바탕" w:hAnsi="Arial" w:cs="Arial"/>
          <w:b/>
          <w:bCs/>
          <w:lang w:val="en-GB"/>
        </w:rPr>
        <w:tab/>
      </w:r>
      <w:r w:rsidR="00AC6806" w:rsidRPr="00706E34">
        <w:rPr>
          <w:rFonts w:ascii="Arial" w:eastAsia="바탕" w:hAnsi="Arial" w:cs="Arial"/>
          <w:b/>
          <w:bCs/>
          <w:lang w:val="en-GB"/>
        </w:rPr>
        <w:tab/>
      </w:r>
      <w:r w:rsidR="002B4036" w:rsidRPr="00706E34">
        <w:rPr>
          <w:rFonts w:ascii="Arial" w:eastAsia="바탕" w:hAnsi="Arial" w:cs="Arial"/>
          <w:b/>
          <w:bCs/>
          <w:lang w:val="en-GB"/>
        </w:rPr>
        <w:t>Proposed change in Annex A</w:t>
      </w:r>
    </w:p>
    <w:p w14:paraId="52C631B6" w14:textId="50864D39" w:rsidR="0098577C" w:rsidRPr="00706E34" w:rsidRDefault="0098577C" w:rsidP="004B3BC0">
      <w:pPr>
        <w:rPr>
          <w:rFonts w:ascii="Arial" w:eastAsia="바탕" w:hAnsi="Arial" w:cs="Arial"/>
          <w:b/>
          <w:bCs/>
          <w:lang w:val="en-GB"/>
        </w:rPr>
      </w:pPr>
      <w:r w:rsidRPr="00706E34">
        <w:rPr>
          <w:rFonts w:ascii="Arial" w:eastAsia="바탕" w:hAnsi="Arial" w:cs="Arial"/>
          <w:b/>
          <w:bCs/>
          <w:lang w:val="en-GB"/>
        </w:rPr>
        <w:t>Agenda Item:</w:t>
      </w:r>
      <w:r w:rsidRPr="00706E34">
        <w:rPr>
          <w:rFonts w:ascii="Arial" w:eastAsia="바탕" w:hAnsi="Arial" w:cs="Arial"/>
          <w:b/>
          <w:bCs/>
          <w:lang w:val="en-GB"/>
        </w:rPr>
        <w:tab/>
      </w:r>
      <w:r w:rsidR="00AC6806" w:rsidRPr="00706E34">
        <w:rPr>
          <w:rFonts w:ascii="Arial" w:eastAsia="바탕" w:hAnsi="Arial" w:cs="Arial"/>
          <w:b/>
          <w:bCs/>
          <w:lang w:val="en-GB"/>
        </w:rPr>
        <w:tab/>
      </w:r>
      <w:r w:rsidR="00295C45">
        <w:rPr>
          <w:rFonts w:ascii="Arial" w:eastAsia="바탕" w:hAnsi="Arial" w:cs="Arial"/>
          <w:b/>
          <w:bCs/>
          <w:lang w:val="en-GB"/>
        </w:rPr>
        <w:t>10.7</w:t>
      </w:r>
    </w:p>
    <w:p w14:paraId="186DE6D1" w14:textId="606B8F6B" w:rsidR="0098577C" w:rsidRPr="00706E34" w:rsidRDefault="00211EC8" w:rsidP="004B3BC0">
      <w:pPr>
        <w:rPr>
          <w:rFonts w:ascii="Arial" w:eastAsia="바탕" w:hAnsi="Arial" w:cs="Arial"/>
          <w:b/>
          <w:bCs/>
          <w:lang w:val="en-GB"/>
        </w:rPr>
      </w:pPr>
      <w:r w:rsidRPr="00706E34">
        <w:rPr>
          <w:rFonts w:ascii="Arial" w:eastAsia="바탕" w:hAnsi="Arial" w:cs="Arial"/>
          <w:b/>
          <w:bCs/>
          <w:lang w:val="en-GB"/>
        </w:rPr>
        <w:t>Document for:</w:t>
      </w:r>
      <w:r w:rsidRPr="00706E34">
        <w:rPr>
          <w:rFonts w:ascii="Arial" w:eastAsia="바탕" w:hAnsi="Arial" w:cs="Arial"/>
          <w:b/>
          <w:bCs/>
          <w:lang w:val="en-GB"/>
        </w:rPr>
        <w:tab/>
      </w:r>
      <w:r w:rsidR="00AC6806" w:rsidRPr="00706E34">
        <w:rPr>
          <w:rFonts w:ascii="Arial" w:eastAsia="바탕" w:hAnsi="Arial" w:cs="Arial"/>
          <w:b/>
          <w:bCs/>
          <w:lang w:val="en-GB"/>
        </w:rPr>
        <w:tab/>
      </w:r>
      <w:r w:rsidR="00F7672B" w:rsidRPr="00706E34">
        <w:rPr>
          <w:rFonts w:ascii="Arial" w:eastAsia="바탕" w:hAnsi="Arial" w:cs="Arial"/>
          <w:b/>
          <w:bCs/>
          <w:lang w:val="en-GB"/>
        </w:rPr>
        <w:t>Agreement</w:t>
      </w:r>
    </w:p>
    <w:bookmarkEnd w:id="0"/>
    <w:bookmarkEnd w:id="1"/>
    <w:p w14:paraId="7EAC7F6C" w14:textId="370746A9" w:rsidR="009254FD" w:rsidRPr="00706E34" w:rsidRDefault="00064E44" w:rsidP="009254FD">
      <w:pPr>
        <w:pStyle w:val="Heading1"/>
        <w:rPr>
          <w:lang w:val="en-GB" w:eastAsia="ko-KR"/>
        </w:rPr>
      </w:pPr>
      <w:r w:rsidRPr="00706E34">
        <w:rPr>
          <w:lang w:val="en-GB" w:eastAsia="ko-KR"/>
        </w:rPr>
        <w:t>1.</w:t>
      </w:r>
      <w:r w:rsidRPr="00706E34">
        <w:rPr>
          <w:lang w:val="en-GB" w:eastAsia="ko-KR"/>
        </w:rPr>
        <w:tab/>
      </w:r>
      <w:r w:rsidR="002B4036" w:rsidRPr="00706E34">
        <w:rPr>
          <w:lang w:val="en-GB" w:eastAsia="ko-KR"/>
        </w:rPr>
        <w:t xml:space="preserve">Background </w:t>
      </w:r>
    </w:p>
    <w:p w14:paraId="1D4EC10E" w14:textId="03DC95D6" w:rsidR="009254FD" w:rsidRPr="00706E34" w:rsidRDefault="00107A51" w:rsidP="009254FD">
      <w:pPr>
        <w:rPr>
          <w:lang w:val="en-GB" w:eastAsia="ko-KR"/>
        </w:rPr>
      </w:pPr>
      <w:r w:rsidRPr="00706E34">
        <w:rPr>
          <w:lang w:val="en-GB" w:eastAsia="ko-KR"/>
        </w:rPr>
        <w:t xml:space="preserve">During the offline discussion in SA4#122 meeting, it was raised </w:t>
      </w:r>
      <w:r w:rsidR="007D6C2A" w:rsidRPr="00706E34">
        <w:rPr>
          <w:lang w:val="en-GB" w:eastAsia="ko-KR"/>
        </w:rPr>
        <w:t xml:space="preserve">whether the current Annex </w:t>
      </w:r>
      <w:proofErr w:type="gramStart"/>
      <w:r w:rsidR="007D6C2A" w:rsidRPr="00706E34">
        <w:rPr>
          <w:lang w:val="en-GB" w:eastAsia="ko-KR"/>
        </w:rPr>
        <w:t>A</w:t>
      </w:r>
      <w:proofErr w:type="gramEnd"/>
      <w:r w:rsidR="007D6C2A" w:rsidRPr="00706E34">
        <w:rPr>
          <w:lang w:val="en-GB" w:eastAsia="ko-KR"/>
        </w:rPr>
        <w:t xml:space="preserve"> of TS 26.506 should be informative or normative. While the recent version of TS 26.506 is defining Annex </w:t>
      </w:r>
      <w:proofErr w:type="gramStart"/>
      <w:r w:rsidR="007D6C2A" w:rsidRPr="00706E34">
        <w:rPr>
          <w:lang w:val="en-GB" w:eastAsia="ko-KR"/>
        </w:rPr>
        <w:t>A</w:t>
      </w:r>
      <w:proofErr w:type="gramEnd"/>
      <w:r w:rsidR="007D6C2A" w:rsidRPr="00706E34">
        <w:rPr>
          <w:lang w:val="en-GB" w:eastAsia="ko-KR"/>
        </w:rPr>
        <w:t xml:space="preserve"> as informative, some argued it should be normative as it contains the descriptive text and architecture figures for the collaboration scenarios where the main normative body of the document is relying. In this proposal, it is analysed the dependency of main body with Annex A</w:t>
      </w:r>
      <w:r w:rsidR="00B77389" w:rsidRPr="00706E34">
        <w:rPr>
          <w:lang w:val="en-GB" w:eastAsia="ko-KR"/>
        </w:rPr>
        <w:t xml:space="preserve"> to figure out which one is appropriate. </w:t>
      </w:r>
    </w:p>
    <w:p w14:paraId="406CE04D" w14:textId="77777777" w:rsidR="00DF437D" w:rsidRPr="00706E34" w:rsidRDefault="00DF437D" w:rsidP="009254FD">
      <w:pPr>
        <w:rPr>
          <w:lang w:val="en-GB"/>
        </w:rPr>
      </w:pPr>
    </w:p>
    <w:p w14:paraId="47798DF1" w14:textId="2EF77E0B" w:rsidR="00064E44" w:rsidRPr="00706E34" w:rsidRDefault="00064E44" w:rsidP="00064E44">
      <w:pPr>
        <w:pStyle w:val="Heading1"/>
        <w:rPr>
          <w:lang w:val="en-GB" w:eastAsia="ko-KR"/>
        </w:rPr>
      </w:pPr>
      <w:r w:rsidRPr="00706E34">
        <w:rPr>
          <w:lang w:val="en-GB" w:eastAsia="ko-KR"/>
        </w:rPr>
        <w:t>2.</w:t>
      </w:r>
      <w:r w:rsidRPr="00706E34">
        <w:rPr>
          <w:lang w:val="en-GB" w:eastAsia="ko-KR"/>
        </w:rPr>
        <w:tab/>
      </w:r>
      <w:r w:rsidR="002B4036" w:rsidRPr="00706E34">
        <w:rPr>
          <w:lang w:val="en-GB" w:eastAsia="ko-KR"/>
        </w:rPr>
        <w:t>Current structure of TS 26.506 v1.1.0</w:t>
      </w:r>
    </w:p>
    <w:p w14:paraId="734B54AF" w14:textId="27B5692F" w:rsidR="0065513E" w:rsidRPr="00706E34" w:rsidRDefault="00C95A1A" w:rsidP="009254FD">
      <w:pPr>
        <w:rPr>
          <w:lang w:val="en-GB" w:eastAsia="ko-KR"/>
        </w:rPr>
      </w:pPr>
      <w:r w:rsidRPr="00706E34">
        <w:rPr>
          <w:lang w:val="en-GB" w:eastAsia="ko-KR"/>
        </w:rPr>
        <w:t xml:space="preserve">Here are the parts in the main body of TS 26.506 which are referring the Annex </w:t>
      </w:r>
      <w:proofErr w:type="gramStart"/>
      <w:r w:rsidRPr="00706E34">
        <w:rPr>
          <w:lang w:val="en-GB" w:eastAsia="ko-KR"/>
        </w:rPr>
        <w:t>A</w:t>
      </w:r>
      <w:proofErr w:type="gramEnd"/>
      <w:r w:rsidRPr="00706E34">
        <w:rPr>
          <w:lang w:val="en-GB" w:eastAsia="ko-KR"/>
        </w:rPr>
        <w:t xml:space="preserve"> context.</w:t>
      </w:r>
    </w:p>
    <w:p w14:paraId="7590F71A" w14:textId="308CA975" w:rsidR="00C95A1A" w:rsidRPr="00706E34" w:rsidRDefault="00C95A1A" w:rsidP="009254FD">
      <w:pPr>
        <w:rPr>
          <w:lang w:val="en-GB" w:eastAsia="ko-KR"/>
        </w:rPr>
      </w:pPr>
    </w:p>
    <w:p w14:paraId="1F4DB8E2" w14:textId="1CE5471C" w:rsidR="00C95A1A" w:rsidRPr="00706E34" w:rsidRDefault="00C95A1A" w:rsidP="00ED45AA">
      <w:pPr>
        <w:jc w:val="center"/>
        <w:rPr>
          <w:b/>
          <w:sz w:val="28"/>
          <w:lang w:val="en-GB" w:eastAsia="ko-KR"/>
        </w:rPr>
      </w:pPr>
      <w:r w:rsidRPr="00706E34">
        <w:rPr>
          <w:b/>
          <w:sz w:val="28"/>
          <w:highlight w:val="green"/>
          <w:lang w:val="en-GB" w:eastAsia="ko-KR"/>
        </w:rPr>
        <w:t>### Cross-reference #1 ###</w:t>
      </w:r>
    </w:p>
    <w:p w14:paraId="41970D12" w14:textId="77777777" w:rsidR="00C95A1A" w:rsidRPr="00706E34" w:rsidRDefault="00C95A1A" w:rsidP="00C95A1A">
      <w:pPr>
        <w:pStyle w:val="Heading2"/>
        <w:rPr>
          <w:lang w:val="en-GB"/>
        </w:rPr>
      </w:pPr>
      <w:bookmarkStart w:id="3" w:name="_Toc120864997"/>
      <w:bookmarkStart w:id="4" w:name="_Toc129936644"/>
      <w:r w:rsidRPr="00706E34">
        <w:rPr>
          <w:lang w:val="en-GB"/>
        </w:rPr>
        <w:t>4.1</w:t>
      </w:r>
      <w:r w:rsidRPr="00706E34">
        <w:rPr>
          <w:lang w:val="en-GB"/>
        </w:rPr>
        <w:tab/>
        <w:t>Overall architecture for Real-</w:t>
      </w:r>
      <w:r w:rsidRPr="00706E34">
        <w:rPr>
          <w:lang w:val="en-GB" w:eastAsia="ko-KR"/>
        </w:rPr>
        <w:t>T</w:t>
      </w:r>
      <w:r w:rsidRPr="00706E34">
        <w:rPr>
          <w:lang w:val="en-GB"/>
        </w:rPr>
        <w:t>ime Media Communication (RTC)</w:t>
      </w:r>
      <w:bookmarkEnd w:id="3"/>
      <w:bookmarkEnd w:id="4"/>
    </w:p>
    <w:p w14:paraId="117AFFF4" w14:textId="77777777" w:rsidR="00C95A1A" w:rsidRPr="00706E34" w:rsidRDefault="00C95A1A" w:rsidP="00C95A1A">
      <w:pPr>
        <w:pStyle w:val="TH"/>
        <w:rPr>
          <w:rFonts w:eastAsia="맑은 고딕"/>
          <w:lang w:eastAsia="ko-KR"/>
        </w:rPr>
      </w:pPr>
      <w:r w:rsidRPr="00706E34">
        <w:object w:dxaOrig="10657" w:dyaOrig="4861" w14:anchorId="5DC2B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19.85pt" o:ole="">
            <v:imagedata r:id="rId11" o:title=""/>
          </v:shape>
          <o:OLEObject Type="Embed" ProgID="Visio.Drawing.15" ShapeID="_x0000_i1025" DrawAspect="Content" ObjectID="_1742652793" r:id="rId12"/>
        </w:object>
      </w:r>
    </w:p>
    <w:p w14:paraId="36B9DEE0" w14:textId="77777777" w:rsidR="00C95A1A" w:rsidRPr="00706E34" w:rsidRDefault="00C95A1A" w:rsidP="00C95A1A">
      <w:pPr>
        <w:pStyle w:val="TF"/>
        <w:rPr>
          <w:lang w:val="en-GB"/>
        </w:rPr>
      </w:pPr>
      <w:bookmarkStart w:id="5" w:name="_Hlk116507747"/>
      <w:r w:rsidRPr="00706E34">
        <w:rPr>
          <w:lang w:val="en-GB"/>
        </w:rPr>
        <w:t>Figure 4.1-1: 5G-RTC General Architecture</w:t>
      </w:r>
      <w:bookmarkEnd w:id="5"/>
    </w:p>
    <w:p w14:paraId="13A809CD" w14:textId="77777777" w:rsidR="00C95A1A" w:rsidRPr="00706E34" w:rsidRDefault="00C95A1A" w:rsidP="00C95A1A">
      <w:pPr>
        <w:pStyle w:val="NO"/>
        <w:rPr>
          <w:lang w:val="en-GB"/>
        </w:rPr>
      </w:pPr>
      <w:r w:rsidRPr="00706E34">
        <w:rPr>
          <w:highlight w:val="yellow"/>
          <w:lang w:val="en-GB"/>
        </w:rPr>
        <w:t>Note:</w:t>
      </w:r>
      <w:r w:rsidRPr="00706E34">
        <w:rPr>
          <w:highlight w:val="yellow"/>
          <w:lang w:val="en-GB"/>
        </w:rPr>
        <w:tab/>
        <w:t>Some of functions may not be required depending on the collaboration scenario. Description of collaboration scenario and its architecture variant are specified in Annex A.</w:t>
      </w:r>
    </w:p>
    <w:p w14:paraId="636B62CF" w14:textId="3D171026" w:rsidR="00C95A1A" w:rsidRPr="00706E34" w:rsidRDefault="00C95A1A" w:rsidP="00ED45AA">
      <w:pPr>
        <w:jc w:val="center"/>
        <w:rPr>
          <w:b/>
          <w:sz w:val="28"/>
          <w:highlight w:val="green"/>
          <w:lang w:val="en-GB" w:eastAsia="ko-KR"/>
        </w:rPr>
      </w:pPr>
      <w:r w:rsidRPr="00706E34">
        <w:rPr>
          <w:b/>
          <w:sz w:val="28"/>
          <w:highlight w:val="green"/>
          <w:lang w:val="en-GB" w:eastAsia="ko-KR"/>
        </w:rPr>
        <w:lastRenderedPageBreak/>
        <w:t>### Cross-reference #2 ###</w:t>
      </w:r>
    </w:p>
    <w:p w14:paraId="670AEF76" w14:textId="77777777" w:rsidR="00C95A1A" w:rsidRPr="00706E34" w:rsidRDefault="00C95A1A" w:rsidP="00C95A1A">
      <w:pPr>
        <w:pStyle w:val="Heading3"/>
        <w:rPr>
          <w:lang w:val="en-GB"/>
        </w:rPr>
      </w:pPr>
      <w:bookmarkStart w:id="6" w:name="_Toc120865000"/>
      <w:bookmarkStart w:id="7" w:name="_Toc129936647"/>
      <w:r w:rsidRPr="00706E34">
        <w:rPr>
          <w:lang w:val="en-GB"/>
        </w:rPr>
        <w:t>4.2.2</w:t>
      </w:r>
      <w:r w:rsidRPr="00706E34">
        <w:rPr>
          <w:lang w:val="en-GB"/>
        </w:rPr>
        <w:tab/>
        <w:t>Provisioning function</w:t>
      </w:r>
      <w:bookmarkEnd w:id="6"/>
      <w:bookmarkEnd w:id="7"/>
    </w:p>
    <w:p w14:paraId="29915EEE" w14:textId="77777777" w:rsidR="00C95A1A" w:rsidRPr="00706E34" w:rsidRDefault="00C95A1A" w:rsidP="00C95A1A">
      <w:pPr>
        <w:rPr>
          <w:rFonts w:eastAsia="맑은 고딕"/>
          <w:lang w:val="en-GB" w:eastAsia="ko-KR"/>
        </w:rPr>
      </w:pPr>
      <w:r w:rsidRPr="00706E34">
        <w:rPr>
          <w:rFonts w:eastAsia="맑은 고딕"/>
          <w:lang w:val="en-GB" w:eastAsia="ko-KR"/>
        </w:rPr>
        <w:t>The provisioning function may enable an application provider to perform provisioning of the following functionalities:</w:t>
      </w:r>
    </w:p>
    <w:p w14:paraId="48F3A654" w14:textId="77777777" w:rsidR="00C95A1A" w:rsidRPr="00706E34" w:rsidRDefault="00C95A1A" w:rsidP="00C95A1A">
      <w:pPr>
        <w:pStyle w:val="B1"/>
        <w:rPr>
          <w:lang w:val="en-GB"/>
        </w:rPr>
      </w:pPr>
      <w:r w:rsidRPr="00706E34">
        <w:rPr>
          <w:lang w:val="en-GB"/>
        </w:rPr>
        <w:t>-</w:t>
      </w:r>
      <w:r w:rsidRPr="00706E34">
        <w:rPr>
          <w:lang w:val="en-GB"/>
        </w:rPr>
        <w:tab/>
        <w:t>QoS support provisioning for WebRTC sessions</w:t>
      </w:r>
    </w:p>
    <w:p w14:paraId="4640C480" w14:textId="77777777" w:rsidR="00C95A1A" w:rsidRPr="00706E34" w:rsidRDefault="00C95A1A" w:rsidP="00C95A1A">
      <w:pPr>
        <w:pStyle w:val="B1"/>
        <w:rPr>
          <w:lang w:val="en-GB"/>
        </w:rPr>
      </w:pPr>
      <w:r w:rsidRPr="00706E34">
        <w:rPr>
          <w:lang w:val="en-GB"/>
        </w:rPr>
        <w:t>-</w:t>
      </w:r>
      <w:r w:rsidRPr="00706E34">
        <w:rPr>
          <w:lang w:val="en-GB"/>
        </w:rPr>
        <w:tab/>
        <w:t>Charging provisioning for WebRTC sessions</w:t>
      </w:r>
    </w:p>
    <w:p w14:paraId="3DBF3020" w14:textId="77777777" w:rsidR="00C95A1A" w:rsidRPr="00706E34" w:rsidRDefault="00C95A1A" w:rsidP="00C95A1A">
      <w:pPr>
        <w:pStyle w:val="B1"/>
        <w:rPr>
          <w:lang w:val="en-GB"/>
        </w:rPr>
      </w:pPr>
      <w:r w:rsidRPr="00706E34">
        <w:rPr>
          <w:lang w:val="en-GB"/>
        </w:rPr>
        <w:t>-</w:t>
      </w:r>
      <w:r w:rsidRPr="00706E34">
        <w:rPr>
          <w:lang w:val="en-GB"/>
        </w:rPr>
        <w:tab/>
        <w:t>Collection of consumption and QoE metrics data provisioning related to WebRTC sessions</w:t>
      </w:r>
    </w:p>
    <w:p w14:paraId="6AA61C5B" w14:textId="77777777" w:rsidR="00C95A1A" w:rsidRPr="00706E34" w:rsidRDefault="00C95A1A" w:rsidP="00C95A1A">
      <w:pPr>
        <w:pStyle w:val="B1"/>
        <w:rPr>
          <w:lang w:val="en-GB"/>
        </w:rPr>
      </w:pPr>
      <w:r w:rsidRPr="00706E34">
        <w:rPr>
          <w:lang w:val="en-GB"/>
        </w:rPr>
        <w:t>-</w:t>
      </w:r>
      <w:r w:rsidRPr="00706E34">
        <w:rPr>
          <w:lang w:val="en-GB"/>
        </w:rPr>
        <w:tab/>
        <w:t>Offering ICE functionality provisioning such as STUN and TURN servers</w:t>
      </w:r>
    </w:p>
    <w:p w14:paraId="019ABC02" w14:textId="77777777" w:rsidR="00C95A1A" w:rsidRPr="00706E34" w:rsidRDefault="00C95A1A" w:rsidP="00C95A1A">
      <w:pPr>
        <w:pStyle w:val="B1"/>
        <w:rPr>
          <w:lang w:val="en-GB"/>
        </w:rPr>
      </w:pPr>
      <w:r w:rsidRPr="00706E34">
        <w:rPr>
          <w:lang w:val="en-GB"/>
        </w:rPr>
        <w:t>-</w:t>
      </w:r>
      <w:r w:rsidRPr="00706E34">
        <w:rPr>
          <w:lang w:val="en-GB"/>
        </w:rPr>
        <w:tab/>
        <w:t>Offering WebRTC signalling servers provisioning, potentially with interoperability to other signalling servers.</w:t>
      </w:r>
    </w:p>
    <w:p w14:paraId="282B5040" w14:textId="77777777" w:rsidR="00C95A1A" w:rsidRPr="00706E34" w:rsidRDefault="00C95A1A" w:rsidP="00C95A1A">
      <w:pPr>
        <w:rPr>
          <w:rFonts w:eastAsia="맑은 고딕"/>
          <w:lang w:val="en-GB" w:eastAsia="ko-KR"/>
        </w:rPr>
      </w:pPr>
      <w:r w:rsidRPr="00706E34">
        <w:rPr>
          <w:rFonts w:eastAsia="맑은 고딕"/>
          <w:highlight w:val="yellow"/>
          <w:lang w:val="en-GB" w:eastAsia="ko-KR"/>
        </w:rPr>
        <w:t>The provisioning function may not be relevant to all collaboration scenarios and some of the 5G support functionality may be offered without application provider provisioning.</w:t>
      </w:r>
      <w:r w:rsidRPr="00706E34">
        <w:rPr>
          <w:rFonts w:eastAsia="맑은 고딕"/>
          <w:lang w:val="en-GB" w:eastAsia="ko-KR"/>
        </w:rPr>
        <w:t xml:space="preserve"> </w:t>
      </w:r>
    </w:p>
    <w:p w14:paraId="1193451F" w14:textId="59CF7A25" w:rsidR="00C95A1A" w:rsidRPr="00706E34" w:rsidRDefault="00C95A1A" w:rsidP="009254FD">
      <w:pPr>
        <w:rPr>
          <w:lang w:val="en-GB" w:eastAsia="ko-KR"/>
        </w:rPr>
      </w:pPr>
    </w:p>
    <w:p w14:paraId="7F5586DA" w14:textId="5A434E90" w:rsidR="00C95A1A" w:rsidRPr="00706E34" w:rsidRDefault="00C95A1A" w:rsidP="00ED45AA">
      <w:pPr>
        <w:jc w:val="center"/>
        <w:rPr>
          <w:b/>
          <w:sz w:val="28"/>
          <w:highlight w:val="green"/>
          <w:lang w:val="en-GB" w:eastAsia="ko-KR"/>
        </w:rPr>
      </w:pPr>
      <w:r w:rsidRPr="00706E34">
        <w:rPr>
          <w:b/>
          <w:sz w:val="28"/>
          <w:highlight w:val="green"/>
          <w:lang w:val="en-GB" w:eastAsia="ko-KR"/>
        </w:rPr>
        <w:t>### Cross-reference #3 ###</w:t>
      </w:r>
    </w:p>
    <w:p w14:paraId="63F41870" w14:textId="77777777" w:rsidR="00C95A1A" w:rsidRPr="00706E34" w:rsidRDefault="00C95A1A" w:rsidP="00C95A1A">
      <w:pPr>
        <w:pStyle w:val="Heading3"/>
        <w:rPr>
          <w:lang w:val="en-GB"/>
        </w:rPr>
      </w:pPr>
      <w:bookmarkStart w:id="8" w:name="_Toc120865011"/>
      <w:bookmarkStart w:id="9" w:name="_Toc129936658"/>
      <w:r w:rsidRPr="00706E34">
        <w:rPr>
          <w:lang w:val="en-GB"/>
        </w:rPr>
        <w:t>4.3.1</w:t>
      </w:r>
      <w:r w:rsidRPr="00706E34">
        <w:rPr>
          <w:lang w:val="en-GB"/>
        </w:rPr>
        <w:tab/>
        <w:t>RTC-1: Provisioning interface</w:t>
      </w:r>
      <w:bookmarkEnd w:id="8"/>
      <w:bookmarkEnd w:id="9"/>
    </w:p>
    <w:p w14:paraId="265A71C2" w14:textId="77777777" w:rsidR="00C95A1A" w:rsidRPr="00706E34" w:rsidRDefault="00C95A1A" w:rsidP="00C95A1A">
      <w:pPr>
        <w:rPr>
          <w:rFonts w:eastAsia="맑은 고딕"/>
          <w:lang w:val="en-GB" w:eastAsia="ko-KR"/>
        </w:rPr>
      </w:pPr>
      <w:r w:rsidRPr="00706E34">
        <w:rPr>
          <w:rFonts w:eastAsia="맑은 고딕"/>
          <w:lang w:val="en-GB" w:eastAsia="ko-KR"/>
        </w:rPr>
        <w:t>The RTC-1 interface allows the Application Provider to provision support for RTC sessions that are offered by it. The provisioning may cover the following aspects:</w:t>
      </w:r>
    </w:p>
    <w:p w14:paraId="76CAD69F" w14:textId="77777777" w:rsidR="00C95A1A" w:rsidRPr="00706E34" w:rsidRDefault="00C95A1A" w:rsidP="00C95A1A">
      <w:pPr>
        <w:pStyle w:val="B1"/>
        <w:rPr>
          <w:lang w:val="en-GB"/>
        </w:rPr>
      </w:pPr>
      <w:r w:rsidRPr="00706E34">
        <w:rPr>
          <w:lang w:val="en-GB"/>
        </w:rPr>
        <w:t>-</w:t>
      </w:r>
      <w:r w:rsidRPr="00706E34">
        <w:rPr>
          <w:lang w:val="en-GB"/>
        </w:rPr>
        <w:tab/>
        <w:t>QoS support for WebRTC sessions</w:t>
      </w:r>
    </w:p>
    <w:p w14:paraId="5E9885F9" w14:textId="77777777" w:rsidR="00C95A1A" w:rsidRPr="00706E34" w:rsidRDefault="00C95A1A" w:rsidP="00C95A1A">
      <w:pPr>
        <w:pStyle w:val="B1"/>
        <w:rPr>
          <w:lang w:val="en-GB"/>
        </w:rPr>
      </w:pPr>
      <w:r w:rsidRPr="00706E34">
        <w:rPr>
          <w:lang w:val="en-GB"/>
        </w:rPr>
        <w:t>-</w:t>
      </w:r>
      <w:r w:rsidRPr="00706E34">
        <w:rPr>
          <w:lang w:val="en-GB"/>
        </w:rPr>
        <w:tab/>
        <w:t>Charging provisioning for WebRTC sessions</w:t>
      </w:r>
    </w:p>
    <w:p w14:paraId="1C58972C" w14:textId="77777777" w:rsidR="00C95A1A" w:rsidRPr="00706E34" w:rsidRDefault="00C95A1A" w:rsidP="00C95A1A">
      <w:pPr>
        <w:pStyle w:val="B1"/>
        <w:rPr>
          <w:lang w:val="en-GB"/>
        </w:rPr>
      </w:pPr>
      <w:r w:rsidRPr="00706E34">
        <w:rPr>
          <w:lang w:val="en-GB"/>
        </w:rPr>
        <w:t>-</w:t>
      </w:r>
      <w:r w:rsidRPr="00706E34">
        <w:rPr>
          <w:lang w:val="en-GB"/>
        </w:rPr>
        <w:tab/>
        <w:t>Collection of consumption and QoE metrics data related to WebRTC sessions</w:t>
      </w:r>
    </w:p>
    <w:p w14:paraId="0DAC342D" w14:textId="77777777" w:rsidR="00C95A1A" w:rsidRPr="00706E34" w:rsidRDefault="00C95A1A" w:rsidP="00C95A1A">
      <w:pPr>
        <w:pStyle w:val="B1"/>
        <w:rPr>
          <w:lang w:val="en-GB"/>
        </w:rPr>
      </w:pPr>
      <w:r w:rsidRPr="00706E34">
        <w:rPr>
          <w:lang w:val="en-GB"/>
        </w:rPr>
        <w:t>-</w:t>
      </w:r>
      <w:r w:rsidRPr="00706E34">
        <w:rPr>
          <w:lang w:val="en-GB"/>
        </w:rPr>
        <w:tab/>
        <w:t>Offering ICE functionality such as STUN and TURN servers</w:t>
      </w:r>
    </w:p>
    <w:p w14:paraId="225A56E0" w14:textId="77777777" w:rsidR="00C95A1A" w:rsidRPr="00706E34" w:rsidRDefault="00C95A1A" w:rsidP="00C95A1A">
      <w:pPr>
        <w:pStyle w:val="B1"/>
        <w:rPr>
          <w:lang w:val="en-GB"/>
        </w:rPr>
      </w:pPr>
      <w:r w:rsidRPr="00706E34">
        <w:rPr>
          <w:lang w:val="en-GB"/>
        </w:rPr>
        <w:t>-</w:t>
      </w:r>
      <w:r w:rsidRPr="00706E34">
        <w:rPr>
          <w:lang w:val="en-GB"/>
        </w:rPr>
        <w:tab/>
        <w:t>Offering WebRTC signalling servers, potentially with interoperability to other signalling servers</w:t>
      </w:r>
    </w:p>
    <w:p w14:paraId="7EC38F83" w14:textId="77777777" w:rsidR="00C95A1A" w:rsidRPr="00706E34" w:rsidRDefault="00C95A1A" w:rsidP="00C95A1A">
      <w:pPr>
        <w:rPr>
          <w:rFonts w:eastAsia="맑은 고딕"/>
          <w:lang w:val="en-GB" w:eastAsia="ko-KR"/>
        </w:rPr>
      </w:pPr>
      <w:r w:rsidRPr="00706E34">
        <w:rPr>
          <w:rFonts w:eastAsia="맑은 고딕"/>
          <w:highlight w:val="yellow"/>
          <w:lang w:val="en-GB" w:eastAsia="ko-KR"/>
        </w:rPr>
        <w:t>The provisioning interface is not relevant to all collaboration scenarios and some of the 5G support functionality may be offered without application provider provisioning.</w:t>
      </w:r>
    </w:p>
    <w:p w14:paraId="078DCD03" w14:textId="77777777" w:rsidR="00C95A1A" w:rsidRPr="00706E34" w:rsidRDefault="00C95A1A" w:rsidP="009254FD">
      <w:pPr>
        <w:rPr>
          <w:lang w:val="en-GB" w:eastAsia="ko-KR"/>
        </w:rPr>
      </w:pPr>
    </w:p>
    <w:p w14:paraId="61D1A101" w14:textId="119A7384" w:rsidR="00C95A1A" w:rsidRPr="00706E34" w:rsidRDefault="00C95A1A" w:rsidP="00ED45AA">
      <w:pPr>
        <w:jc w:val="center"/>
        <w:rPr>
          <w:b/>
          <w:sz w:val="28"/>
          <w:highlight w:val="green"/>
          <w:lang w:val="en-GB" w:eastAsia="ko-KR"/>
        </w:rPr>
      </w:pPr>
      <w:r w:rsidRPr="00706E34">
        <w:rPr>
          <w:b/>
          <w:sz w:val="28"/>
          <w:highlight w:val="green"/>
          <w:lang w:val="en-GB" w:eastAsia="ko-KR"/>
        </w:rPr>
        <w:t>### Cross-reference #4 ###</w:t>
      </w:r>
    </w:p>
    <w:p w14:paraId="37841FBB" w14:textId="77777777" w:rsidR="00C95A1A" w:rsidRPr="00706E34" w:rsidRDefault="00C95A1A" w:rsidP="00C95A1A">
      <w:pPr>
        <w:pStyle w:val="Heading2"/>
        <w:rPr>
          <w:lang w:val="en-GB" w:eastAsia="ko-KR"/>
        </w:rPr>
      </w:pPr>
      <w:bookmarkStart w:id="10" w:name="_Toc120865024"/>
      <w:bookmarkStart w:id="11" w:name="_Toc129936672"/>
      <w:r w:rsidRPr="00706E34">
        <w:rPr>
          <w:lang w:val="en-GB" w:eastAsia="ko-KR"/>
        </w:rPr>
        <w:t>5.1</w:t>
      </w:r>
      <w:r w:rsidRPr="00706E34">
        <w:rPr>
          <w:lang w:val="en-GB" w:eastAsia="ko-KR"/>
        </w:rPr>
        <w:tab/>
      </w:r>
      <w:bookmarkEnd w:id="10"/>
      <w:r w:rsidRPr="00706E34">
        <w:rPr>
          <w:lang w:val="en-GB" w:eastAsia="ko-KR"/>
        </w:rPr>
        <w:t>General</w:t>
      </w:r>
      <w:bookmarkEnd w:id="11"/>
      <w:r w:rsidRPr="00706E34">
        <w:rPr>
          <w:lang w:val="en-GB" w:eastAsia="ko-KR"/>
        </w:rPr>
        <w:t xml:space="preserve"> </w:t>
      </w:r>
    </w:p>
    <w:p w14:paraId="62C21AAE" w14:textId="77777777" w:rsidR="00C95A1A" w:rsidRPr="00706E34" w:rsidRDefault="00C95A1A" w:rsidP="00C95A1A">
      <w:pPr>
        <w:rPr>
          <w:lang w:val="en-GB"/>
        </w:rPr>
      </w:pPr>
      <w:r w:rsidRPr="00706E34">
        <w:rPr>
          <w:lang w:val="en-GB"/>
        </w:rPr>
        <w:t xml:space="preserve">The RTC procedures that are defined in this clause are classified based on the collaboration scenarios that are described in Annex A. Depending on the scenario, only a subset of the functions that are defined in 4.2 may be be involved. </w:t>
      </w:r>
    </w:p>
    <w:p w14:paraId="4B866591" w14:textId="77777777" w:rsidR="00C95A1A" w:rsidRPr="00706E34" w:rsidRDefault="00C95A1A" w:rsidP="00C95A1A">
      <w:pPr>
        <w:rPr>
          <w:lang w:val="en-GB"/>
        </w:rPr>
      </w:pPr>
      <w:r w:rsidRPr="00706E34">
        <w:rPr>
          <w:highlight w:val="yellow"/>
          <w:lang w:val="en-GB"/>
        </w:rPr>
        <w:t xml:space="preserve">In general, the 5G-RTC call flow may consist of the following procedures. Details per each collaboration scenario is specified in </w:t>
      </w:r>
      <w:commentRangeStart w:id="12"/>
      <w:r w:rsidRPr="00706E34">
        <w:rPr>
          <w:highlight w:val="yellow"/>
          <w:lang w:val="en-GB"/>
        </w:rPr>
        <w:t>Annex B</w:t>
      </w:r>
      <w:commentRangeEnd w:id="12"/>
      <w:r w:rsidRPr="00706E34">
        <w:rPr>
          <w:rStyle w:val="CommentReference"/>
          <w:lang w:val="en-GB"/>
        </w:rPr>
        <w:commentReference w:id="12"/>
      </w:r>
      <w:r w:rsidRPr="00706E34">
        <w:rPr>
          <w:highlight w:val="yellow"/>
          <w:lang w:val="en-GB"/>
        </w:rPr>
        <w:t>;</w:t>
      </w:r>
    </w:p>
    <w:p w14:paraId="7DF35C24" w14:textId="77777777" w:rsidR="00C95A1A" w:rsidRPr="00706E34" w:rsidRDefault="00C95A1A" w:rsidP="00C95A1A">
      <w:pPr>
        <w:pStyle w:val="B1"/>
        <w:rPr>
          <w:lang w:val="en-GB"/>
        </w:rPr>
      </w:pPr>
      <w:r w:rsidRPr="00706E34">
        <w:rPr>
          <w:lang w:val="en-GB"/>
        </w:rPr>
        <w:t>-</w:t>
      </w:r>
      <w:r w:rsidRPr="00706E34">
        <w:rPr>
          <w:lang w:val="en-GB"/>
        </w:rPr>
        <w:tab/>
        <w:t>Provisioning</w:t>
      </w:r>
    </w:p>
    <w:p w14:paraId="7C22C391" w14:textId="77777777" w:rsidR="00C95A1A" w:rsidRPr="00706E34" w:rsidRDefault="00C95A1A" w:rsidP="00C95A1A">
      <w:pPr>
        <w:pStyle w:val="B1"/>
        <w:rPr>
          <w:lang w:val="en-GB"/>
        </w:rPr>
      </w:pPr>
      <w:r w:rsidRPr="00706E34">
        <w:rPr>
          <w:lang w:val="en-GB"/>
        </w:rPr>
        <w:lastRenderedPageBreak/>
        <w:t>-</w:t>
      </w:r>
      <w:r w:rsidRPr="00706E34">
        <w:rPr>
          <w:lang w:val="en-GB"/>
        </w:rPr>
        <w:tab/>
        <w:t>Configuration</w:t>
      </w:r>
    </w:p>
    <w:p w14:paraId="5CB5807E" w14:textId="77777777" w:rsidR="00C95A1A" w:rsidRPr="00706E34" w:rsidRDefault="00C95A1A" w:rsidP="00C95A1A">
      <w:pPr>
        <w:pStyle w:val="B1"/>
        <w:rPr>
          <w:lang w:val="en-GB"/>
        </w:rPr>
      </w:pPr>
      <w:r w:rsidRPr="00706E34">
        <w:rPr>
          <w:lang w:val="en-GB"/>
        </w:rPr>
        <w:t>-</w:t>
      </w:r>
      <w:r w:rsidRPr="00706E34">
        <w:rPr>
          <w:lang w:val="en-GB"/>
        </w:rPr>
        <w:tab/>
        <w:t>ICE candidates discovery</w:t>
      </w:r>
    </w:p>
    <w:p w14:paraId="3A0F547D" w14:textId="77777777" w:rsidR="00C95A1A" w:rsidRPr="00706E34" w:rsidRDefault="00C95A1A" w:rsidP="00C95A1A">
      <w:pPr>
        <w:pStyle w:val="B1"/>
        <w:rPr>
          <w:lang w:val="en-GB"/>
        </w:rPr>
      </w:pPr>
      <w:r w:rsidRPr="00706E34">
        <w:rPr>
          <w:lang w:val="en-GB"/>
        </w:rPr>
        <w:t>-</w:t>
      </w:r>
      <w:r w:rsidRPr="00706E34">
        <w:rPr>
          <w:lang w:val="en-GB"/>
        </w:rPr>
        <w:tab/>
        <w:t>Session establishment</w:t>
      </w:r>
    </w:p>
    <w:p w14:paraId="79291CC5" w14:textId="77777777" w:rsidR="00C95A1A" w:rsidRPr="00706E34" w:rsidRDefault="00C95A1A" w:rsidP="00C95A1A">
      <w:pPr>
        <w:pStyle w:val="B1"/>
        <w:rPr>
          <w:lang w:val="en-GB"/>
        </w:rPr>
      </w:pPr>
      <w:r w:rsidRPr="00706E34">
        <w:rPr>
          <w:lang w:val="en-GB"/>
        </w:rPr>
        <w:t>-</w:t>
      </w:r>
      <w:r w:rsidRPr="00706E34">
        <w:rPr>
          <w:lang w:val="en-GB"/>
        </w:rPr>
        <w:tab/>
        <w:t>QoS request (either client-driven or WebRTC signalling function/server-driven)</w:t>
      </w:r>
    </w:p>
    <w:p w14:paraId="394197D8" w14:textId="77777777" w:rsidR="00C95A1A" w:rsidRPr="00706E34" w:rsidRDefault="00C95A1A" w:rsidP="00C95A1A">
      <w:pPr>
        <w:pStyle w:val="B1"/>
        <w:rPr>
          <w:lang w:val="en-GB"/>
        </w:rPr>
      </w:pPr>
      <w:r w:rsidRPr="00706E34">
        <w:rPr>
          <w:lang w:val="en-GB"/>
        </w:rPr>
        <w:t>-</w:t>
      </w:r>
      <w:r w:rsidRPr="00706E34">
        <w:rPr>
          <w:lang w:val="en-GB"/>
        </w:rPr>
        <w:tab/>
        <w:t>WebRTC traffic delivery</w:t>
      </w:r>
    </w:p>
    <w:p w14:paraId="246B1110" w14:textId="77777777" w:rsidR="00C95A1A" w:rsidRPr="00706E34" w:rsidRDefault="00C95A1A" w:rsidP="00C95A1A">
      <w:pPr>
        <w:pStyle w:val="B1"/>
        <w:rPr>
          <w:lang w:val="en-GB"/>
        </w:rPr>
      </w:pPr>
      <w:r w:rsidRPr="00706E34">
        <w:rPr>
          <w:lang w:val="en-GB"/>
        </w:rPr>
        <w:t>-</w:t>
      </w:r>
      <w:r w:rsidRPr="00706E34">
        <w:rPr>
          <w:lang w:val="en-GB"/>
        </w:rPr>
        <w:tab/>
        <w:t>QoS updates</w:t>
      </w:r>
    </w:p>
    <w:p w14:paraId="3A7A5340" w14:textId="77777777" w:rsidR="00C95A1A" w:rsidRPr="00706E34" w:rsidRDefault="00C95A1A" w:rsidP="00C95A1A">
      <w:pPr>
        <w:pStyle w:val="B1"/>
        <w:rPr>
          <w:lang w:val="en-GB" w:eastAsia="ko-KR"/>
        </w:rPr>
      </w:pPr>
      <w:r w:rsidRPr="00706E34">
        <w:rPr>
          <w:lang w:val="en-GB"/>
        </w:rPr>
        <w:t>-</w:t>
      </w:r>
      <w:r w:rsidRPr="00706E34">
        <w:rPr>
          <w:lang w:val="en-GB"/>
        </w:rPr>
        <w:tab/>
        <w:t>Session termination</w:t>
      </w:r>
      <w:r w:rsidRPr="00706E34" w:rsidDel="002E0184">
        <w:rPr>
          <w:lang w:val="en-GB" w:eastAsia="ko-KR"/>
        </w:rPr>
        <w:t xml:space="preserve"> </w:t>
      </w:r>
    </w:p>
    <w:p w14:paraId="2CEACF61" w14:textId="01D8A02F" w:rsidR="00973D51" w:rsidRPr="00706E34" w:rsidRDefault="00973D51" w:rsidP="009254FD">
      <w:pPr>
        <w:rPr>
          <w:lang w:val="en-GB" w:eastAsia="ko-KR"/>
        </w:rPr>
      </w:pPr>
    </w:p>
    <w:p w14:paraId="62CE6883" w14:textId="50C6C2ED" w:rsidR="00C95A1A" w:rsidRPr="00706E34" w:rsidRDefault="00526C12" w:rsidP="009254FD">
      <w:pPr>
        <w:rPr>
          <w:lang w:val="en-GB" w:eastAsia="ko-KR"/>
        </w:rPr>
      </w:pPr>
      <w:r w:rsidRPr="00706E34">
        <w:rPr>
          <w:lang w:val="en-GB" w:eastAsia="ko-KR"/>
        </w:rPr>
        <w:t xml:space="preserve">With those above, </w:t>
      </w:r>
      <w:r w:rsidR="00706E34">
        <w:rPr>
          <w:lang w:val="en-GB" w:eastAsia="ko-KR"/>
        </w:rPr>
        <w:t xml:space="preserve">it is observed that the main body of the current specification should be supplemented by the definition and descriptive text in Annex A. </w:t>
      </w:r>
      <w:r w:rsidR="0009357E">
        <w:rPr>
          <w:lang w:val="en-GB" w:eastAsia="ko-KR"/>
        </w:rPr>
        <w:t xml:space="preserve">Therefore, the context of Annex A should be normative as well for </w:t>
      </w:r>
      <w:r w:rsidR="006D751D">
        <w:rPr>
          <w:lang w:val="en-GB" w:eastAsia="ko-KR"/>
        </w:rPr>
        <w:t xml:space="preserve">to ensure the identical and predictable understanding. </w:t>
      </w:r>
      <w:r w:rsidR="0009357E">
        <w:rPr>
          <w:lang w:val="en-GB" w:eastAsia="ko-KR"/>
        </w:rPr>
        <w:t xml:space="preserve"> </w:t>
      </w:r>
    </w:p>
    <w:p w14:paraId="583CF689" w14:textId="77777777" w:rsidR="00C95A1A" w:rsidRPr="00706E34" w:rsidRDefault="00C95A1A" w:rsidP="009254FD">
      <w:pPr>
        <w:rPr>
          <w:lang w:val="en-GB" w:eastAsia="ko-KR"/>
        </w:rPr>
      </w:pPr>
    </w:p>
    <w:p w14:paraId="26E5F48B" w14:textId="6B0D2140" w:rsidR="00064E44" w:rsidRPr="00706E34" w:rsidRDefault="00D5299B" w:rsidP="00064E44">
      <w:pPr>
        <w:pStyle w:val="Heading1"/>
        <w:rPr>
          <w:lang w:val="en-GB" w:eastAsia="ko-KR"/>
        </w:rPr>
      </w:pPr>
      <w:r w:rsidRPr="00706E34">
        <w:rPr>
          <w:lang w:val="en-GB" w:eastAsia="ko-KR"/>
        </w:rPr>
        <w:t>3.</w:t>
      </w:r>
      <w:r w:rsidRPr="00706E34">
        <w:rPr>
          <w:lang w:val="en-GB" w:eastAsia="ko-KR"/>
        </w:rPr>
        <w:tab/>
      </w:r>
      <w:r w:rsidR="002B4036" w:rsidRPr="00706E34">
        <w:rPr>
          <w:lang w:val="en-GB" w:eastAsia="ko-KR"/>
        </w:rPr>
        <w:t>Proposal</w:t>
      </w:r>
    </w:p>
    <w:p w14:paraId="256F8E71" w14:textId="3E5C1CE3" w:rsidR="00064E44" w:rsidRPr="00706E34" w:rsidRDefault="002B4036" w:rsidP="009254FD">
      <w:pPr>
        <w:rPr>
          <w:lang w:val="en-GB" w:eastAsia="ko-KR"/>
        </w:rPr>
      </w:pPr>
      <w:r w:rsidRPr="00706E34">
        <w:rPr>
          <w:lang w:val="en-GB" w:eastAsia="ko-KR"/>
        </w:rPr>
        <w:t xml:space="preserve">Considering the dependency of main </w:t>
      </w:r>
      <w:r w:rsidR="007D6C2A" w:rsidRPr="00706E34">
        <w:rPr>
          <w:lang w:val="en-GB" w:eastAsia="ko-KR"/>
        </w:rPr>
        <w:t>part</w:t>
      </w:r>
      <w:r w:rsidRPr="00706E34">
        <w:rPr>
          <w:lang w:val="en-GB" w:eastAsia="ko-KR"/>
        </w:rPr>
        <w:t xml:space="preserve"> in the TS, i</w:t>
      </w:r>
      <w:r w:rsidR="00064E44" w:rsidRPr="00706E34">
        <w:rPr>
          <w:lang w:val="en-GB" w:eastAsia="ko-KR"/>
        </w:rPr>
        <w:t xml:space="preserve">t is proposed to </w:t>
      </w:r>
      <w:r w:rsidRPr="00706E34">
        <w:rPr>
          <w:lang w:val="en-GB" w:eastAsia="ko-KR"/>
        </w:rPr>
        <w:t>make the current Annex A to be normative.</w:t>
      </w:r>
    </w:p>
    <w:sectPr w:rsidR="00064E44" w:rsidRPr="00706E34">
      <w:headerReference w:type="default" r:id="rId15"/>
      <w:pgSz w:w="12240" w:h="15840"/>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이학주/통신표준연구팀(SR)/삼성전자" w:date="2023-03-24T08:38:00Z" w:initials="이">
    <w:p w14:paraId="696118F3" w14:textId="743E2B8F" w:rsidR="00C95A1A" w:rsidRDefault="00C95A1A">
      <w:pPr>
        <w:pStyle w:val="CommentText"/>
        <w:rPr>
          <w:lang w:eastAsia="ko-KR"/>
        </w:rPr>
      </w:pPr>
      <w:r>
        <w:rPr>
          <w:rStyle w:val="CommentReference"/>
        </w:rPr>
        <w:annotationRef/>
      </w:r>
      <w:r>
        <w:rPr>
          <w:rFonts w:hint="eastAsia"/>
          <w:lang w:eastAsia="ko-KR"/>
        </w:rPr>
        <w:t xml:space="preserve">This should be </w:t>
      </w:r>
      <w:r>
        <w:rPr>
          <w:lang w:eastAsia="ko-KR"/>
        </w:rPr>
        <w:t>clause 5.x and 5.ym not Annex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6118F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4FA0B" w14:textId="77777777" w:rsidR="00383385" w:rsidRDefault="00383385" w:rsidP="0098577C">
      <w:pPr>
        <w:spacing w:after="0"/>
      </w:pPr>
      <w:r>
        <w:separator/>
      </w:r>
    </w:p>
  </w:endnote>
  <w:endnote w:type="continuationSeparator" w:id="0">
    <w:p w14:paraId="2864C9A2" w14:textId="77777777" w:rsidR="00383385" w:rsidRDefault="00383385" w:rsidP="0098577C">
      <w:pPr>
        <w:spacing w:after="0"/>
      </w:pPr>
      <w:r>
        <w:continuationSeparator/>
      </w:r>
    </w:p>
  </w:endnote>
  <w:endnote w:type="continuationNotice" w:id="1">
    <w:p w14:paraId="108BED3E" w14:textId="77777777" w:rsidR="00383385" w:rsidRDefault="003833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2CED8" w14:textId="77777777" w:rsidR="00383385" w:rsidRDefault="00383385" w:rsidP="0098577C">
      <w:pPr>
        <w:spacing w:after="0"/>
      </w:pPr>
      <w:r>
        <w:separator/>
      </w:r>
    </w:p>
  </w:footnote>
  <w:footnote w:type="continuationSeparator" w:id="0">
    <w:p w14:paraId="7730A252" w14:textId="77777777" w:rsidR="00383385" w:rsidRDefault="00383385" w:rsidP="0098577C">
      <w:pPr>
        <w:spacing w:after="0"/>
      </w:pPr>
      <w:r>
        <w:continuationSeparator/>
      </w:r>
    </w:p>
  </w:footnote>
  <w:footnote w:type="continuationNotice" w:id="1">
    <w:p w14:paraId="0E2722DA" w14:textId="77777777" w:rsidR="00383385" w:rsidRDefault="003833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5995C99C"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295C45">
      <w:rPr>
        <w:rFonts w:ascii="Arial" w:eastAsia="바탕" w:hAnsi="Arial"/>
        <w:b/>
      </w:rPr>
      <w:t>#123</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295C45">
      <w:rPr>
        <w:rFonts w:ascii="Arial" w:eastAsia="바탕" w:hAnsi="Arial"/>
        <w:b/>
      </w:rPr>
      <w:t>-23</w:t>
    </w:r>
    <w:r w:rsidR="00D607B3">
      <w:rPr>
        <w:rFonts w:ascii="Arial" w:eastAsia="바탕" w:hAnsi="Arial"/>
        <w:b/>
      </w:rPr>
      <w:t>0488</w:t>
    </w:r>
  </w:p>
  <w:p w14:paraId="2BE00BBA" w14:textId="1345E317" w:rsidR="00DE3B73" w:rsidRPr="0098577C" w:rsidRDefault="00295C45" w:rsidP="0098577C">
    <w:pPr>
      <w:spacing w:after="120"/>
      <w:outlineLvl w:val="0"/>
      <w:rPr>
        <w:rFonts w:ascii="Arial" w:eastAsia="맑은 고딕" w:hAnsi="Arial"/>
        <w:b/>
        <w:noProof/>
      </w:rPr>
    </w:pPr>
    <w:r>
      <w:rPr>
        <w:rFonts w:ascii="Arial" w:eastAsia="맑은 고딕" w:hAnsi="Arial"/>
        <w:b/>
        <w:noProof/>
      </w:rPr>
      <w:t>e-Meeting, Ap</w:t>
    </w:r>
    <w:r w:rsidR="002B4036">
      <w:rPr>
        <w:rFonts w:ascii="Arial" w:eastAsia="맑은 고딕" w:hAnsi="Arial"/>
        <w:b/>
        <w:noProof/>
      </w:rPr>
      <w:t>r 1</w:t>
    </w:r>
    <w:r>
      <w:rPr>
        <w:rFonts w:ascii="Arial" w:eastAsia="맑은 고딕" w:hAnsi="Arial"/>
        <w:b/>
        <w:noProof/>
      </w:rPr>
      <w:t>7 – Apr 21</w:t>
    </w:r>
    <w:r w:rsidR="002B4036">
      <w:rPr>
        <w:rFonts w:ascii="Arial" w:eastAsia="맑은 고딕" w:hAnsi="Arial"/>
        <w:b/>
        <w:noProof/>
      </w:rPr>
      <w:t>, 2023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04634A"/>
    <w:multiLevelType w:val="hybridMultilevel"/>
    <w:tmpl w:val="00AC4532"/>
    <w:lvl w:ilvl="0" w:tplc="F5345E82">
      <w:numFmt w:val="bullet"/>
      <w:lvlText w:val="-"/>
      <w:lvlJc w:val="left"/>
      <w:pPr>
        <w:ind w:left="720" w:hanging="360"/>
      </w:pPr>
      <w:rPr>
        <w:rFonts w:ascii="Arial" w:eastAsia="바탕"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023994"/>
    <w:multiLevelType w:val="hybridMultilevel"/>
    <w:tmpl w:val="2C3C5212"/>
    <w:lvl w:ilvl="0" w:tplc="9BEC13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6C458F"/>
    <w:multiLevelType w:val="hybridMultilevel"/>
    <w:tmpl w:val="2E84EF02"/>
    <w:lvl w:ilvl="0" w:tplc="922631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8"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8AD4C9F"/>
    <w:multiLevelType w:val="hybridMultilevel"/>
    <w:tmpl w:val="6CD82EB6"/>
    <w:lvl w:ilvl="0" w:tplc="44667260">
      <w:numFmt w:val="bullet"/>
      <w:lvlText w:val=""/>
      <w:lvlJc w:val="left"/>
      <w:pPr>
        <w:ind w:left="720" w:hanging="360"/>
      </w:pPr>
      <w:rPr>
        <w:rFonts w:ascii="Wingdings" w:eastAsia="바탕"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43"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5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EA729CC"/>
    <w:multiLevelType w:val="hybridMultilevel"/>
    <w:tmpl w:val="42984FC4"/>
    <w:lvl w:ilvl="0" w:tplc="076E8924">
      <w:numFmt w:val="bullet"/>
      <w:lvlText w:val="-"/>
      <w:lvlJc w:val="left"/>
      <w:rPr>
        <w:rFonts w:ascii="Calibri" w:eastAsia="맑은 고딕"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3"/>
  </w:num>
  <w:num w:numId="2">
    <w:abstractNumId w:val="36"/>
  </w:num>
  <w:num w:numId="3">
    <w:abstractNumId w:val="13"/>
  </w:num>
  <w:num w:numId="4">
    <w:abstractNumId w:val="8"/>
  </w:num>
  <w:num w:numId="5">
    <w:abstractNumId w:val="52"/>
  </w:num>
  <w:num w:numId="6">
    <w:abstractNumId w:val="27"/>
  </w:num>
  <w:num w:numId="7">
    <w:abstractNumId w:val="44"/>
  </w:num>
  <w:num w:numId="8">
    <w:abstractNumId w:val="43"/>
  </w:num>
  <w:num w:numId="9">
    <w:abstractNumId w:val="33"/>
  </w:num>
  <w:num w:numId="10">
    <w:abstractNumId w:val="37"/>
  </w:num>
  <w:num w:numId="11">
    <w:abstractNumId w:val="23"/>
  </w:num>
  <w:num w:numId="12">
    <w:abstractNumId w:val="42"/>
  </w:num>
  <w:num w:numId="13">
    <w:abstractNumId w:val="39"/>
  </w:num>
  <w:num w:numId="14">
    <w:abstractNumId w:val="32"/>
  </w:num>
  <w:num w:numId="15">
    <w:abstractNumId w:val="54"/>
  </w:num>
  <w:num w:numId="16">
    <w:abstractNumId w:val="9"/>
  </w:num>
  <w:num w:numId="17">
    <w:abstractNumId w:val="47"/>
  </w:num>
  <w:num w:numId="18">
    <w:abstractNumId w:val="19"/>
  </w:num>
  <w:num w:numId="19">
    <w:abstractNumId w:val="34"/>
  </w:num>
  <w:num w:numId="20">
    <w:abstractNumId w:val="15"/>
  </w:num>
  <w:num w:numId="21">
    <w:abstractNumId w:val="58"/>
  </w:num>
  <w:num w:numId="22">
    <w:abstractNumId w:val="25"/>
  </w:num>
  <w:num w:numId="23">
    <w:abstractNumId w:val="14"/>
  </w:num>
  <w:num w:numId="24">
    <w:abstractNumId w:val="35"/>
  </w:num>
  <w:num w:numId="25">
    <w:abstractNumId w:val="41"/>
  </w:num>
  <w:num w:numId="26">
    <w:abstractNumId w:val="46"/>
  </w:num>
  <w:num w:numId="27">
    <w:abstractNumId w:val="3"/>
  </w:num>
  <w:num w:numId="28">
    <w:abstractNumId w:val="0"/>
  </w:num>
  <w:num w:numId="29">
    <w:abstractNumId w:val="31"/>
  </w:num>
  <w:num w:numId="30">
    <w:abstractNumId w:val="10"/>
  </w:num>
  <w:num w:numId="31">
    <w:abstractNumId w:val="26"/>
  </w:num>
  <w:num w:numId="32">
    <w:abstractNumId w:val="1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9"/>
  </w:num>
  <w:num w:numId="35">
    <w:abstractNumId w:val="17"/>
  </w:num>
  <w:num w:numId="36">
    <w:abstractNumId w:val="45"/>
  </w:num>
  <w:num w:numId="37">
    <w:abstractNumId w:val="51"/>
  </w:num>
  <w:num w:numId="38">
    <w:abstractNumId w:val="1"/>
  </w:num>
  <w:num w:numId="39">
    <w:abstractNumId w:val="30"/>
  </w:num>
  <w:num w:numId="40">
    <w:abstractNumId w:val="18"/>
  </w:num>
  <w:num w:numId="41">
    <w:abstractNumId w:val="11"/>
  </w:num>
  <w:num w:numId="42">
    <w:abstractNumId w:val="49"/>
  </w:num>
  <w:num w:numId="43">
    <w:abstractNumId w:val="38"/>
  </w:num>
  <w:num w:numId="44">
    <w:abstractNumId w:val="6"/>
  </w:num>
  <w:num w:numId="45">
    <w:abstractNumId w:val="29"/>
  </w:num>
  <w:num w:numId="46">
    <w:abstractNumId w:val="4"/>
  </w:num>
  <w:num w:numId="47">
    <w:abstractNumId w:val="5"/>
  </w:num>
  <w:num w:numId="48">
    <w:abstractNumId w:val="48"/>
  </w:num>
  <w:num w:numId="49">
    <w:abstractNumId w:val="24"/>
  </w:num>
  <w:num w:numId="50">
    <w:abstractNumId w:val="57"/>
  </w:num>
  <w:num w:numId="51">
    <w:abstractNumId w:val="21"/>
  </w:num>
  <w:num w:numId="52">
    <w:abstractNumId w:val="28"/>
  </w:num>
  <w:num w:numId="53">
    <w:abstractNumId w:val="56"/>
  </w:num>
  <w:num w:numId="54">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40"/>
  </w:num>
  <w:num w:numId="56">
    <w:abstractNumId w:val="60"/>
  </w:num>
  <w:num w:numId="57">
    <w:abstractNumId w:val="2"/>
  </w:num>
  <w:num w:numId="58">
    <w:abstractNumId w:val="55"/>
  </w:num>
  <w:num w:numId="59">
    <w:abstractNumId w:val="50"/>
  </w:num>
  <w:num w:numId="60">
    <w:abstractNumId w:val="7"/>
  </w:num>
  <w:num w:numId="61">
    <w:abstractNumId w:val="20"/>
  </w:num>
  <w:num w:numId="62">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통신표준연구팀(S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71E7"/>
    <w:rsid w:val="00064E44"/>
    <w:rsid w:val="000653CD"/>
    <w:rsid w:val="00065A7B"/>
    <w:rsid w:val="00067786"/>
    <w:rsid w:val="0007366A"/>
    <w:rsid w:val="00073733"/>
    <w:rsid w:val="00074200"/>
    <w:rsid w:val="00075521"/>
    <w:rsid w:val="000757F9"/>
    <w:rsid w:val="000818B2"/>
    <w:rsid w:val="0008430F"/>
    <w:rsid w:val="00084795"/>
    <w:rsid w:val="000848E6"/>
    <w:rsid w:val="00085E47"/>
    <w:rsid w:val="00087E19"/>
    <w:rsid w:val="00092CDE"/>
    <w:rsid w:val="0009357E"/>
    <w:rsid w:val="000A0D0C"/>
    <w:rsid w:val="000A3A16"/>
    <w:rsid w:val="000B02D0"/>
    <w:rsid w:val="000B2129"/>
    <w:rsid w:val="000B7A0D"/>
    <w:rsid w:val="000C0F2F"/>
    <w:rsid w:val="000C1B74"/>
    <w:rsid w:val="000C3E99"/>
    <w:rsid w:val="000C702A"/>
    <w:rsid w:val="000D0F83"/>
    <w:rsid w:val="000E160A"/>
    <w:rsid w:val="000E4F0D"/>
    <w:rsid w:val="000E56BE"/>
    <w:rsid w:val="000E748F"/>
    <w:rsid w:val="000F0009"/>
    <w:rsid w:val="000F0253"/>
    <w:rsid w:val="000F309B"/>
    <w:rsid w:val="000F4846"/>
    <w:rsid w:val="000F5263"/>
    <w:rsid w:val="000F63EF"/>
    <w:rsid w:val="000F7959"/>
    <w:rsid w:val="00107A51"/>
    <w:rsid w:val="00110575"/>
    <w:rsid w:val="0011166C"/>
    <w:rsid w:val="00124D2E"/>
    <w:rsid w:val="00127678"/>
    <w:rsid w:val="00127A4A"/>
    <w:rsid w:val="00134446"/>
    <w:rsid w:val="0013587E"/>
    <w:rsid w:val="00136B98"/>
    <w:rsid w:val="0014071C"/>
    <w:rsid w:val="00142530"/>
    <w:rsid w:val="00144803"/>
    <w:rsid w:val="001457C2"/>
    <w:rsid w:val="001564FD"/>
    <w:rsid w:val="0016015F"/>
    <w:rsid w:val="001607DF"/>
    <w:rsid w:val="00161133"/>
    <w:rsid w:val="0016246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69FE"/>
    <w:rsid w:val="00210108"/>
    <w:rsid w:val="00210692"/>
    <w:rsid w:val="00211EC8"/>
    <w:rsid w:val="00214CE1"/>
    <w:rsid w:val="00215C5A"/>
    <w:rsid w:val="00224EF9"/>
    <w:rsid w:val="00224F89"/>
    <w:rsid w:val="00230AFA"/>
    <w:rsid w:val="00231C7D"/>
    <w:rsid w:val="00233B46"/>
    <w:rsid w:val="00240630"/>
    <w:rsid w:val="00241F16"/>
    <w:rsid w:val="0024596C"/>
    <w:rsid w:val="00245B85"/>
    <w:rsid w:val="00245D4A"/>
    <w:rsid w:val="002466A5"/>
    <w:rsid w:val="00246EAF"/>
    <w:rsid w:val="00250415"/>
    <w:rsid w:val="00252B60"/>
    <w:rsid w:val="002562B8"/>
    <w:rsid w:val="0025782C"/>
    <w:rsid w:val="00261616"/>
    <w:rsid w:val="0026424A"/>
    <w:rsid w:val="0026439D"/>
    <w:rsid w:val="002654EC"/>
    <w:rsid w:val="00275676"/>
    <w:rsid w:val="002761BD"/>
    <w:rsid w:val="0028026A"/>
    <w:rsid w:val="00283C7B"/>
    <w:rsid w:val="0028403A"/>
    <w:rsid w:val="002855F5"/>
    <w:rsid w:val="00286A68"/>
    <w:rsid w:val="002877EC"/>
    <w:rsid w:val="00290D31"/>
    <w:rsid w:val="00294735"/>
    <w:rsid w:val="00295BA2"/>
    <w:rsid w:val="00295C45"/>
    <w:rsid w:val="0029710D"/>
    <w:rsid w:val="002A03B2"/>
    <w:rsid w:val="002A08A4"/>
    <w:rsid w:val="002A4FD2"/>
    <w:rsid w:val="002A67E4"/>
    <w:rsid w:val="002A7E07"/>
    <w:rsid w:val="002B1D4A"/>
    <w:rsid w:val="002B2AEA"/>
    <w:rsid w:val="002B4036"/>
    <w:rsid w:val="002B479C"/>
    <w:rsid w:val="002B4F87"/>
    <w:rsid w:val="002B4FFB"/>
    <w:rsid w:val="002B50B1"/>
    <w:rsid w:val="002B7AA8"/>
    <w:rsid w:val="002C3012"/>
    <w:rsid w:val="002D01B4"/>
    <w:rsid w:val="002D0A7F"/>
    <w:rsid w:val="002D11E2"/>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4023"/>
    <w:rsid w:val="00365A0E"/>
    <w:rsid w:val="00370488"/>
    <w:rsid w:val="00371ACD"/>
    <w:rsid w:val="003721F4"/>
    <w:rsid w:val="003771CE"/>
    <w:rsid w:val="003805AD"/>
    <w:rsid w:val="0038195D"/>
    <w:rsid w:val="00383243"/>
    <w:rsid w:val="00383385"/>
    <w:rsid w:val="00383A8E"/>
    <w:rsid w:val="0038412C"/>
    <w:rsid w:val="003849DA"/>
    <w:rsid w:val="003871EB"/>
    <w:rsid w:val="0039123D"/>
    <w:rsid w:val="00393B71"/>
    <w:rsid w:val="00395EA6"/>
    <w:rsid w:val="0039670C"/>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D585A"/>
    <w:rsid w:val="003E2374"/>
    <w:rsid w:val="003E5BB9"/>
    <w:rsid w:val="003F065C"/>
    <w:rsid w:val="003F3D7E"/>
    <w:rsid w:val="003F4E9B"/>
    <w:rsid w:val="003F768C"/>
    <w:rsid w:val="003F7C65"/>
    <w:rsid w:val="003F7D16"/>
    <w:rsid w:val="00406855"/>
    <w:rsid w:val="0041032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01FC"/>
    <w:rsid w:val="00521768"/>
    <w:rsid w:val="00522AB2"/>
    <w:rsid w:val="0052521F"/>
    <w:rsid w:val="00526C12"/>
    <w:rsid w:val="00527B2E"/>
    <w:rsid w:val="00527E52"/>
    <w:rsid w:val="00530320"/>
    <w:rsid w:val="00531A22"/>
    <w:rsid w:val="00531BF8"/>
    <w:rsid w:val="005320A1"/>
    <w:rsid w:val="00532431"/>
    <w:rsid w:val="00533A62"/>
    <w:rsid w:val="00537C9D"/>
    <w:rsid w:val="00542A45"/>
    <w:rsid w:val="0054728A"/>
    <w:rsid w:val="005478F4"/>
    <w:rsid w:val="00547BEF"/>
    <w:rsid w:val="00557650"/>
    <w:rsid w:val="0056109B"/>
    <w:rsid w:val="00564255"/>
    <w:rsid w:val="00564C26"/>
    <w:rsid w:val="00567A45"/>
    <w:rsid w:val="005710CD"/>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368D"/>
    <w:rsid w:val="005B63D2"/>
    <w:rsid w:val="005B7C3D"/>
    <w:rsid w:val="005C062D"/>
    <w:rsid w:val="005D0501"/>
    <w:rsid w:val="005D292B"/>
    <w:rsid w:val="005D3C00"/>
    <w:rsid w:val="005D609D"/>
    <w:rsid w:val="005E118A"/>
    <w:rsid w:val="005E3DFF"/>
    <w:rsid w:val="005E5F31"/>
    <w:rsid w:val="005E636A"/>
    <w:rsid w:val="005E6DFF"/>
    <w:rsid w:val="005F39A1"/>
    <w:rsid w:val="005F3BA9"/>
    <w:rsid w:val="005F597D"/>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23D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5513E"/>
    <w:rsid w:val="00663205"/>
    <w:rsid w:val="00664A24"/>
    <w:rsid w:val="0067017E"/>
    <w:rsid w:val="006711AA"/>
    <w:rsid w:val="006724DB"/>
    <w:rsid w:val="00673684"/>
    <w:rsid w:val="00673F0D"/>
    <w:rsid w:val="006751F6"/>
    <w:rsid w:val="00677BF5"/>
    <w:rsid w:val="00677F67"/>
    <w:rsid w:val="00680158"/>
    <w:rsid w:val="00680668"/>
    <w:rsid w:val="00680E97"/>
    <w:rsid w:val="00683C49"/>
    <w:rsid w:val="00683E5F"/>
    <w:rsid w:val="006848E9"/>
    <w:rsid w:val="00685691"/>
    <w:rsid w:val="00686472"/>
    <w:rsid w:val="006909C8"/>
    <w:rsid w:val="00692583"/>
    <w:rsid w:val="006A3FD1"/>
    <w:rsid w:val="006B0B06"/>
    <w:rsid w:val="006B0E4B"/>
    <w:rsid w:val="006B1876"/>
    <w:rsid w:val="006B573B"/>
    <w:rsid w:val="006C0093"/>
    <w:rsid w:val="006C1501"/>
    <w:rsid w:val="006D11F6"/>
    <w:rsid w:val="006D3685"/>
    <w:rsid w:val="006D4EC2"/>
    <w:rsid w:val="006D57B5"/>
    <w:rsid w:val="006D751D"/>
    <w:rsid w:val="006D7C9B"/>
    <w:rsid w:val="006E23C0"/>
    <w:rsid w:val="006E3358"/>
    <w:rsid w:val="006E5AFE"/>
    <w:rsid w:val="006E6DFA"/>
    <w:rsid w:val="006F27D5"/>
    <w:rsid w:val="0070002D"/>
    <w:rsid w:val="00700412"/>
    <w:rsid w:val="00700959"/>
    <w:rsid w:val="00700F39"/>
    <w:rsid w:val="007056FD"/>
    <w:rsid w:val="00706E34"/>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7F89"/>
    <w:rsid w:val="007C09C1"/>
    <w:rsid w:val="007C1A35"/>
    <w:rsid w:val="007C32A4"/>
    <w:rsid w:val="007C56E2"/>
    <w:rsid w:val="007C7179"/>
    <w:rsid w:val="007D148E"/>
    <w:rsid w:val="007D3A1C"/>
    <w:rsid w:val="007D45D9"/>
    <w:rsid w:val="007D6C2A"/>
    <w:rsid w:val="007D7726"/>
    <w:rsid w:val="007E325E"/>
    <w:rsid w:val="007F0F7C"/>
    <w:rsid w:val="007F1836"/>
    <w:rsid w:val="007F3D1F"/>
    <w:rsid w:val="007F545C"/>
    <w:rsid w:val="00801FCA"/>
    <w:rsid w:val="008027B7"/>
    <w:rsid w:val="00805BB8"/>
    <w:rsid w:val="00813572"/>
    <w:rsid w:val="008150C1"/>
    <w:rsid w:val="00815AC7"/>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8035B"/>
    <w:rsid w:val="008807D2"/>
    <w:rsid w:val="00883F11"/>
    <w:rsid w:val="008845A5"/>
    <w:rsid w:val="00884F11"/>
    <w:rsid w:val="00886417"/>
    <w:rsid w:val="00890406"/>
    <w:rsid w:val="00890506"/>
    <w:rsid w:val="00891491"/>
    <w:rsid w:val="00893B1D"/>
    <w:rsid w:val="00894C6C"/>
    <w:rsid w:val="00895E60"/>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57D5"/>
    <w:rsid w:val="008D5DF4"/>
    <w:rsid w:val="008D601E"/>
    <w:rsid w:val="008D61E6"/>
    <w:rsid w:val="008E063C"/>
    <w:rsid w:val="008F1406"/>
    <w:rsid w:val="008F1AF7"/>
    <w:rsid w:val="008F1DFE"/>
    <w:rsid w:val="008F3521"/>
    <w:rsid w:val="008F46BB"/>
    <w:rsid w:val="008F4758"/>
    <w:rsid w:val="008F6F9E"/>
    <w:rsid w:val="008F78E1"/>
    <w:rsid w:val="0090205D"/>
    <w:rsid w:val="00903C19"/>
    <w:rsid w:val="0090627C"/>
    <w:rsid w:val="00912BFF"/>
    <w:rsid w:val="0091358A"/>
    <w:rsid w:val="0092171D"/>
    <w:rsid w:val="00922E21"/>
    <w:rsid w:val="009254FD"/>
    <w:rsid w:val="00930651"/>
    <w:rsid w:val="00930C00"/>
    <w:rsid w:val="00932AC6"/>
    <w:rsid w:val="009354A7"/>
    <w:rsid w:val="00935818"/>
    <w:rsid w:val="00940CC6"/>
    <w:rsid w:val="009427E2"/>
    <w:rsid w:val="009445F2"/>
    <w:rsid w:val="00950817"/>
    <w:rsid w:val="0095115C"/>
    <w:rsid w:val="00956533"/>
    <w:rsid w:val="00956CFA"/>
    <w:rsid w:val="00957588"/>
    <w:rsid w:val="009614E2"/>
    <w:rsid w:val="00963C0D"/>
    <w:rsid w:val="00965210"/>
    <w:rsid w:val="0096643A"/>
    <w:rsid w:val="00973D51"/>
    <w:rsid w:val="00975D96"/>
    <w:rsid w:val="009761F8"/>
    <w:rsid w:val="00982939"/>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EC"/>
    <w:rsid w:val="009E04D6"/>
    <w:rsid w:val="009E08FB"/>
    <w:rsid w:val="009E152F"/>
    <w:rsid w:val="009E1958"/>
    <w:rsid w:val="009E1E98"/>
    <w:rsid w:val="009E3320"/>
    <w:rsid w:val="009E4685"/>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615DA"/>
    <w:rsid w:val="00A62ED3"/>
    <w:rsid w:val="00A7045D"/>
    <w:rsid w:val="00A74A8A"/>
    <w:rsid w:val="00A7625F"/>
    <w:rsid w:val="00A76E4F"/>
    <w:rsid w:val="00A820FB"/>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05F03"/>
    <w:rsid w:val="00B12738"/>
    <w:rsid w:val="00B14F2C"/>
    <w:rsid w:val="00B216B1"/>
    <w:rsid w:val="00B232BB"/>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7187F"/>
    <w:rsid w:val="00B71AC9"/>
    <w:rsid w:val="00B7308B"/>
    <w:rsid w:val="00B74313"/>
    <w:rsid w:val="00B757C2"/>
    <w:rsid w:val="00B76142"/>
    <w:rsid w:val="00B76BF3"/>
    <w:rsid w:val="00B77389"/>
    <w:rsid w:val="00B82583"/>
    <w:rsid w:val="00B8614E"/>
    <w:rsid w:val="00BA1425"/>
    <w:rsid w:val="00BA2190"/>
    <w:rsid w:val="00BA2750"/>
    <w:rsid w:val="00BA486C"/>
    <w:rsid w:val="00BB7D4E"/>
    <w:rsid w:val="00BC021F"/>
    <w:rsid w:val="00BC138D"/>
    <w:rsid w:val="00BC7F3B"/>
    <w:rsid w:val="00BD115F"/>
    <w:rsid w:val="00BD165E"/>
    <w:rsid w:val="00BD169A"/>
    <w:rsid w:val="00BD2D36"/>
    <w:rsid w:val="00BD4CA4"/>
    <w:rsid w:val="00BD4DC2"/>
    <w:rsid w:val="00BD624F"/>
    <w:rsid w:val="00BD7537"/>
    <w:rsid w:val="00BE0B12"/>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23F"/>
    <w:rsid w:val="00C81781"/>
    <w:rsid w:val="00C82281"/>
    <w:rsid w:val="00C822DB"/>
    <w:rsid w:val="00C82E85"/>
    <w:rsid w:val="00C83735"/>
    <w:rsid w:val="00C854EA"/>
    <w:rsid w:val="00C85F02"/>
    <w:rsid w:val="00C87A08"/>
    <w:rsid w:val="00C914FB"/>
    <w:rsid w:val="00C92828"/>
    <w:rsid w:val="00C94696"/>
    <w:rsid w:val="00C95A1A"/>
    <w:rsid w:val="00C96FC2"/>
    <w:rsid w:val="00CA076F"/>
    <w:rsid w:val="00CA0E11"/>
    <w:rsid w:val="00CA0F37"/>
    <w:rsid w:val="00CA12BC"/>
    <w:rsid w:val="00CA1609"/>
    <w:rsid w:val="00CA1CAA"/>
    <w:rsid w:val="00CA3437"/>
    <w:rsid w:val="00CA5978"/>
    <w:rsid w:val="00CA5B98"/>
    <w:rsid w:val="00CA6AF1"/>
    <w:rsid w:val="00CB09C4"/>
    <w:rsid w:val="00CB0D4E"/>
    <w:rsid w:val="00CB0E2C"/>
    <w:rsid w:val="00CB1045"/>
    <w:rsid w:val="00CB22E2"/>
    <w:rsid w:val="00CB3233"/>
    <w:rsid w:val="00CB3507"/>
    <w:rsid w:val="00CC0219"/>
    <w:rsid w:val="00CC100D"/>
    <w:rsid w:val="00CC3634"/>
    <w:rsid w:val="00CC5212"/>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7B3"/>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A06C0"/>
    <w:rsid w:val="00DA2210"/>
    <w:rsid w:val="00DB308D"/>
    <w:rsid w:val="00DC28AD"/>
    <w:rsid w:val="00DC71AB"/>
    <w:rsid w:val="00DE3B73"/>
    <w:rsid w:val="00DE3D02"/>
    <w:rsid w:val="00DE5048"/>
    <w:rsid w:val="00DF30C9"/>
    <w:rsid w:val="00DF437D"/>
    <w:rsid w:val="00DF6CC5"/>
    <w:rsid w:val="00E00EC2"/>
    <w:rsid w:val="00E0464F"/>
    <w:rsid w:val="00E070A7"/>
    <w:rsid w:val="00E071AB"/>
    <w:rsid w:val="00E07E2E"/>
    <w:rsid w:val="00E10E9F"/>
    <w:rsid w:val="00E118FB"/>
    <w:rsid w:val="00E14B7C"/>
    <w:rsid w:val="00E14D49"/>
    <w:rsid w:val="00E152D2"/>
    <w:rsid w:val="00E156D1"/>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5149"/>
    <w:rsid w:val="00E54187"/>
    <w:rsid w:val="00E55F3C"/>
    <w:rsid w:val="00E60E44"/>
    <w:rsid w:val="00E61384"/>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469D"/>
    <w:rsid w:val="00EB5060"/>
    <w:rsid w:val="00EB56BE"/>
    <w:rsid w:val="00EC0844"/>
    <w:rsid w:val="00EC09AE"/>
    <w:rsid w:val="00EC7A71"/>
    <w:rsid w:val="00ED2E7E"/>
    <w:rsid w:val="00ED38B5"/>
    <w:rsid w:val="00ED45AA"/>
    <w:rsid w:val="00ED47F7"/>
    <w:rsid w:val="00ED5802"/>
    <w:rsid w:val="00ED67EC"/>
    <w:rsid w:val="00EE01D2"/>
    <w:rsid w:val="00EE1906"/>
    <w:rsid w:val="00EE777A"/>
    <w:rsid w:val="00EE7CEA"/>
    <w:rsid w:val="00EF110E"/>
    <w:rsid w:val="00EF4129"/>
    <w:rsid w:val="00EF47AC"/>
    <w:rsid w:val="00EF5D35"/>
    <w:rsid w:val="00F01D96"/>
    <w:rsid w:val="00F04A8E"/>
    <w:rsid w:val="00F05D18"/>
    <w:rsid w:val="00F12854"/>
    <w:rsid w:val="00F162EE"/>
    <w:rsid w:val="00F166D0"/>
    <w:rsid w:val="00F17A7A"/>
    <w:rsid w:val="00F17DD0"/>
    <w:rsid w:val="00F2373B"/>
    <w:rsid w:val="00F23F60"/>
    <w:rsid w:val="00F273AA"/>
    <w:rsid w:val="00F3028D"/>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5052"/>
    <w:rsid w:val="00F6709B"/>
    <w:rsid w:val="00F7672B"/>
    <w:rsid w:val="00F774BE"/>
    <w:rsid w:val="00F7759A"/>
    <w:rsid w:val="00F77FFE"/>
    <w:rsid w:val="00F80F70"/>
    <w:rsid w:val="00F81DBD"/>
    <w:rsid w:val="00F82FB4"/>
    <w:rsid w:val="00F835AE"/>
    <w:rsid w:val="00F9038A"/>
    <w:rsid w:val="00F92189"/>
    <w:rsid w:val="00F966E6"/>
    <w:rsid w:val="00F97D50"/>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맑은 고딕"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맑은 고딕"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맑은 고딕"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바탕"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맑은 고딕"/>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1AF6CB8E-EE15-4EFF-81C1-B472D4FAF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이학주/5G/6G표준Lab(SR)/삼성전자</cp:lastModifiedBy>
  <cp:revision>2</cp:revision>
  <dcterms:created xsi:type="dcterms:W3CDTF">2023-04-10T08:26:00Z</dcterms:created>
  <dcterms:modified xsi:type="dcterms:W3CDTF">2023-04-10T08:26:00Z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